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144" w:firstLine="284"/>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7a.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 </w:t>
      </w:r>
      <w:r w:rsidDel="00000000" w:rsidR="00000000" w:rsidRPr="00000000">
        <w:rPr>
          <w:rFonts w:ascii="Times New Roman" w:cs="Times New Roman" w:eastAsia="Times New Roman" w:hAnsi="Times New Roman"/>
          <w:b w:val="1"/>
          <w:bCs w:val="1"/>
          <w:i w:val="1"/>
          <w:iCs w:val="1"/>
          <w:sz w:val="26"/>
          <w:szCs w:val="26"/>
          <w:rtl w:val="0"/>
        </w:rPr>
        <w:t xml:space="preserve">(thuộc Bộ Quốc phòng)</w:t>
      </w:r>
      <w:r w:rsidDel="00000000" w:rsidR="00000000" w:rsidRPr="00000000">
        <w:rPr>
          <w:rtl w:val="0"/>
        </w:rPr>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94/2024 của Bộ Quốc phòng)</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w:t>
      </w:r>
      <w:r w:rsidDel="00000000" w:rsidR="00000000" w:rsidRPr="00000000">
        <w:rPr>
          <w:rFonts w:ascii="Times New Roman" w:cs="Times New Roman" w:eastAsia="Times New Roman" w:hAnsi="Times New Roman"/>
          <w:color w:val="000000"/>
          <w:sz w:val="26"/>
          <w:szCs w:val="26"/>
          <w:rtl w:val="0"/>
        </w:rPr>
        <w:t xml:space="preserve">hoặc không có tên hoặc không có nội dung thông tin về nhà ở trong Giấy chứng nhận quyền sử dụng đất, quyền sở hữu tài sản gắn liền với đất </w:t>
      </w:r>
      <w:r w:rsidDel="00000000" w:rsidR="00000000" w:rsidRPr="00000000">
        <w:rPr>
          <w:rFonts w:ascii="Times New Roman" w:cs="Times New Roman" w:eastAsia="Times New Roman" w:hAnsi="Times New Roman"/>
          <w:sz w:val="26"/>
          <w:szCs w:val="26"/>
          <w:rtl w:val="0"/>
        </w:rPr>
        <w:t xml:space="preserve">(theo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8">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Đà Nẵng xác nhận.</w:t>
      </w:r>
    </w:p>
    <w:p w:rsidR="00000000" w:rsidDel="00000000" w:rsidP="00000000" w:rsidRDefault="00000000" w:rsidRPr="00000000" w14:paraId="00000007">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 /người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9">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thu nhập (theo Thông tư 32/2024): </w:t>
      </w:r>
    </w:p>
    <w:p w:rsidR="00000000" w:rsidDel="00000000" w:rsidP="00000000" w:rsidRDefault="00000000" w:rsidRPr="00000000" w14:paraId="000000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Bảng lương và phụ cấp của sỹ quan có cấp bậc hàm Đại tá tại Đơn vị đang làm việc: người nộp hồ sơ không cần xác nhận, mà tính theo mức quy định tại Công văn 15624/CTC-CĐTC.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720" w:right="0" w:hanging="72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r w:rsidDel="00000000" w:rsidR="00000000" w:rsidRPr="00000000">
        <w:rPr>
          <w:rFonts w:ascii="Times New Roman" w:cs="Times New Roman" w:eastAsia="Times New Roman" w:hAnsi="Times New Roman"/>
          <w:i w:val="1"/>
          <w:iCs w:val="1"/>
          <w:color w:val="000000"/>
          <w:sz w:val="26"/>
          <w:szCs w:val="26"/>
          <w:u w:val="none"/>
          <w:rtl w:val="0"/>
        </w:rPr>
        <w:t xml:space="preserve">LINK_MAU_04</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3">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những người nêu trên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5u659bw2ecrq"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7" w:type="default"/>
      <w:pgSz w:h="16838" w:w="11906" w:orient="portrait"/>
      <w:pgMar w:bottom="284" w:top="851" w:left="993" w:right="991" w:header="720" w:footer="4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9">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zSDlmfla2SWc_YOB6ELcR0IUh5m_z5W8" TargetMode="External"/><Relationship Id="rId12" Type="http://schemas.openxmlformats.org/officeDocument/2006/relationships/hyperlink" Target="https://drive.google.com/uc?export=download&amp;id=1FHUBGxUQFuto4b5PgdDx1lqLsGvkFS9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5" Type="http://schemas.openxmlformats.org/officeDocument/2006/relationships/hyperlink" Target="https://drive.google.com/uc?export=download&amp;id=1FMSa6p4P1kJ7gI5CHh25TJdv8ECZFmzz" TargetMode="External"/><Relationship Id="rId14" Type="http://schemas.openxmlformats.org/officeDocument/2006/relationships/hyperlink" Target="https://drive.google.com/uc?export=download&amp;id=14NJQO9_OB4YAlayCq9kL6odqm28ZbFTe" TargetMode="External"/><Relationship Id="rId17" Type="http://schemas.openxmlformats.org/officeDocument/2006/relationships/footer" Target="footer1.xml"/><Relationship Id="rId16" Type="http://schemas.openxmlformats.org/officeDocument/2006/relationships/hyperlink" Target="https://drive.google.com/uc?export=download&amp;id=1oY49mpE7nk4uHYNFGBYI8c7j-QWqHYGD" TargetMode="Externa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gaYz6GG3P9tHzfta-BGwCEbqTL4GCr3y"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433EFE75EA5642CC81E995A6338E97DD_12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2026-04-05T12:12:43Z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7e9ef043-c6b0-4ac3-8a84-625139170239</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