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10. HỘ GIA ĐÌNH, CÁ NHÂN THUỘC TRƯỜNG HỢP BỊ THU HỒI ĐẤT VÀ PHẢI GIẢI TỎA, PHÁ DỠ NHÀ Ở THEO QUY ĐỊNH CỦA PHÁP LUẬT MÀ CHƯA ĐƯỢC NHÀ NƯỚC BỒI THƯỜNG BẰNG NHÀ Ở, ĐẤT Ở</w:t>
      </w:r>
    </w:p>
    <w:p w:rsidR="00000000" w:rsidDel="00000000" w:rsidP="00000000" w:rsidRDefault="00000000" w:rsidRPr="00000000" w14:paraId="00000002">
      <w:pPr>
        <w:jc w:val="center"/>
        <w:rPr>
          <w:rFonts w:ascii="Times New Roman" w:cs="Times New Roman" w:eastAsia="Times New Roman" w:hAnsi="Times New Roman"/>
          <w:b w:val="1"/>
          <w:bCs w:val="1"/>
          <w:i w:val="1"/>
          <w:iCs w:val="1"/>
          <w:sz w:val="26"/>
          <w:szCs w:val="26"/>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 NGƯỜI ĐỨNG ĐƠN CẦN CUNG CẤP</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Đơn đăng ký mua (theo Nghị định 136/2026):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01</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 </w:t>
      </w:r>
      <w:hyperlink r:id="rId6">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Xác nhận đối tượng (theo Thông tư 08/2026):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01</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 </w:t>
      </w:r>
      <w:hyperlink r:id="rId7">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 do Ủy ban nhân dân cấp xã nơi bị thu hồi đất và phải giải tỏa, phá dỡ nhà ở xác nhận.</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Xác nhận về nhà ở:</w:t>
      </w:r>
    </w:p>
    <w:p w:rsidR="00000000" w:rsidDel="00000000" w:rsidP="00000000" w:rsidRDefault="00000000" w:rsidRPr="00000000" w14:paraId="00000007">
      <w:pPr>
        <w:spacing w:after="120" w:line="340" w:lineRule="auto"/>
        <w:ind w:left="567" w:hanging="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3.1.</w:t>
      </w:r>
      <w:r w:rsidDel="00000000" w:rsidR="00000000" w:rsidRPr="00000000">
        <w:rPr>
          <w:rFonts w:ascii="Times New Roman" w:cs="Times New Roman" w:eastAsia="Times New Roman" w:hAnsi="Times New Roman"/>
          <w:sz w:val="26"/>
          <w:szCs w:val="26"/>
          <w:rtl w:val="0"/>
        </w:rPr>
        <w:t xml:space="preserve">  Trường hợp chưa có nhà ở </w:t>
      </w:r>
      <w:r w:rsidDel="00000000" w:rsidR="00000000" w:rsidRPr="00000000">
        <w:rPr>
          <w:rFonts w:ascii="Times New Roman" w:cs="Times New Roman" w:eastAsia="Times New Roman" w:hAnsi="Times New Roman"/>
          <w:color w:val="000000"/>
          <w:sz w:val="26"/>
          <w:szCs w:val="26"/>
          <w:rtl w:val="0"/>
        </w:rPr>
        <w:t xml:space="preserve">hoặc không có tên hoặc không có nội dung thông tin về nhà ở trong Giấy chứng nhận quyền sử dụng đất, quyền sở hữu tài sản gắn liền với đất </w:t>
      </w:r>
      <w:r w:rsidDel="00000000" w:rsidR="00000000" w:rsidRPr="00000000">
        <w:rPr>
          <w:rFonts w:ascii="Times New Roman" w:cs="Times New Roman" w:eastAsia="Times New Roman" w:hAnsi="Times New Roman"/>
          <w:sz w:val="26"/>
          <w:szCs w:val="26"/>
          <w:rtl w:val="0"/>
        </w:rPr>
        <w:t xml:space="preserve">(theo Thông tư 08/2026): </w:t>
      </w:r>
      <w:r w:rsidDel="00000000" w:rsidR="00000000" w:rsidRPr="00000000">
        <w:rPr>
          <w:rFonts w:ascii="Times New Roman" w:cs="Times New Roman" w:eastAsia="Times New Roman" w:hAnsi="Times New Roman"/>
          <w:b w:val="1"/>
          <w:bCs w:val="1"/>
          <w:sz w:val="26"/>
          <w:szCs w:val="26"/>
          <w:rtl w:val="0"/>
        </w:rPr>
        <w:t xml:space="preserve">Mẫu 02</w:t>
      </w:r>
      <w:r w:rsidDel="00000000" w:rsidR="00000000" w:rsidRPr="00000000">
        <w:rPr>
          <w:rFonts w:ascii="Times New Roman" w:cs="Times New Roman" w:eastAsia="Times New Roman" w:hAnsi="Times New Roman"/>
          <w:sz w:val="26"/>
          <w:szCs w:val="26"/>
          <w:rtl w:val="0"/>
        </w:rPr>
        <w:t xml:space="preserve">  – </w:t>
      </w:r>
      <w:hyperlink r:id="rId8">
        <w:r w:rsidDel="00000000" w:rsidR="00000000" w:rsidRPr="00000000">
          <w:rPr>
            <w:rFonts w:ascii="Times New Roman" w:cs="Times New Roman" w:eastAsia="Times New Roman" w:hAnsi="Times New Roman"/>
            <w:color w:val="1155cc"/>
            <w:sz w:val="26"/>
            <w:szCs w:val="26"/>
            <w:u w:val="single"/>
            <w:rtl w:val="0"/>
          </w:rPr>
          <w:t xml:space="preserve">Tải file đính kèm</w:t>
        </w:r>
      </w:hyperlink>
      <w:r w:rsidDel="00000000" w:rsidR="00000000" w:rsidRPr="00000000">
        <w:rPr>
          <w:rFonts w:ascii="Times New Roman" w:cs="Times New Roman" w:eastAsia="Times New Roman" w:hAnsi="Times New Roman"/>
          <w:i w:val="1"/>
          <w:i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Mẫu này do Văn phòng Đăng ký đất đai thành phố Đà Nẵng xác nhận;</w:t>
      </w:r>
    </w:p>
    <w:p w:rsidR="00000000" w:rsidDel="00000000" w:rsidP="00000000" w:rsidRDefault="00000000" w:rsidRPr="00000000" w14:paraId="00000008">
      <w:pPr>
        <w:spacing w:after="120" w:line="340" w:lineRule="auto"/>
        <w:ind w:left="567" w:hanging="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3.2.</w:t>
      </w:r>
      <w:r w:rsidDel="00000000" w:rsidR="00000000" w:rsidRPr="00000000">
        <w:rPr>
          <w:rFonts w:ascii="Times New Roman" w:cs="Times New Roman" w:eastAsia="Times New Roman" w:hAnsi="Times New Roman"/>
          <w:sz w:val="26"/>
          <w:szCs w:val="26"/>
          <w:rtl w:val="0"/>
        </w:rPr>
        <w:t xml:space="preserve"> Trường hợp có nhà nhưng diện tích bình quân dưới 15m</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Fonts w:ascii="Times New Roman" w:cs="Times New Roman" w:eastAsia="Times New Roman" w:hAnsi="Times New Roman"/>
          <w:sz w:val="26"/>
          <w:szCs w:val="26"/>
          <w:rtl w:val="0"/>
        </w:rPr>
        <w:t xml:space="preserve"> sàn /người (theo Thông tư 05/2024): </w:t>
      </w:r>
      <w:r w:rsidDel="00000000" w:rsidR="00000000" w:rsidRPr="00000000">
        <w:rPr>
          <w:rFonts w:ascii="Times New Roman" w:cs="Times New Roman" w:eastAsia="Times New Roman" w:hAnsi="Times New Roman"/>
          <w:b w:val="1"/>
          <w:bCs w:val="1"/>
          <w:sz w:val="26"/>
          <w:szCs w:val="26"/>
          <w:rtl w:val="0"/>
        </w:rPr>
        <w:t xml:space="preserve">Mẫu 03</w:t>
      </w:r>
      <w:r w:rsidDel="00000000" w:rsidR="00000000" w:rsidRPr="00000000">
        <w:rPr>
          <w:rFonts w:ascii="Times New Roman" w:cs="Times New Roman" w:eastAsia="Times New Roman" w:hAnsi="Times New Roman"/>
          <w:sz w:val="26"/>
          <w:szCs w:val="26"/>
          <w:rtl w:val="0"/>
        </w:rPr>
        <w:t xml:space="preserve"> – </w:t>
      </w:r>
      <w:hyperlink r:id="rId9">
        <w:r w:rsidDel="00000000" w:rsidR="00000000" w:rsidRPr="00000000">
          <w:rPr>
            <w:rFonts w:ascii="Times New Roman" w:cs="Times New Roman" w:eastAsia="Times New Roman" w:hAnsi="Times New Roman"/>
            <w:color w:val="1155cc"/>
            <w:sz w:val="26"/>
            <w:szCs w:val="26"/>
            <w:u w:val="single"/>
            <w:rtl w:val="0"/>
          </w:rPr>
          <w:t xml:space="preserve">Tải file đính kèm</w:t>
        </w:r>
      </w:hyperlink>
      <w:r w:rsidDel="00000000" w:rsidR="00000000" w:rsidRPr="00000000">
        <w:rPr>
          <w:rFonts w:ascii="Times New Roman" w:cs="Times New Roman" w:eastAsia="Times New Roman" w:hAnsi="Times New Roman"/>
          <w:i w:val="1"/>
          <w:i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Mẫu này</w:t>
      </w:r>
      <w:r w:rsidDel="00000000" w:rsidR="00000000" w:rsidRPr="00000000">
        <w:rPr>
          <w:rFonts w:ascii="Times New Roman" w:cs="Times New Roman" w:eastAsia="Times New Roman" w:hAnsi="Times New Roman"/>
          <w:i w:val="1"/>
          <w:i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do UBND cấp xã nơi Người kê khai đang thường trú xác nhận;</w:t>
      </w:r>
    </w:p>
    <w:p w:rsidR="00000000" w:rsidDel="00000000" w:rsidP="00000000" w:rsidRDefault="00000000" w:rsidRPr="00000000" w14:paraId="00000009">
      <w:pPr>
        <w:spacing w:after="120" w:line="340" w:lineRule="auto"/>
        <w:ind w:left="567" w:hanging="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3.3.</w:t>
      </w:r>
      <w:r w:rsidDel="00000000" w:rsidR="00000000" w:rsidRPr="00000000">
        <w:rPr>
          <w:rFonts w:ascii="Times New Roman" w:cs="Times New Roman" w:eastAsia="Times New Roman" w:hAnsi="Times New Roman"/>
          <w:sz w:val="26"/>
          <w:szCs w:val="26"/>
          <w:rtl w:val="0"/>
        </w:rPr>
        <w:t xml:space="preserve">  Trường hợp có nhà nhưng nhà cách xa địa điểm làm việc thì xác nhận theo 02 bước theo Công văn 4958/SXD-QLN: </w:t>
      </w:r>
    </w:p>
    <w:p w:rsidR="00000000" w:rsidDel="00000000" w:rsidP="00000000" w:rsidRDefault="00000000" w:rsidRPr="00000000" w14:paraId="0000000A">
      <w:pPr>
        <w:spacing w:after="120" w:line="340" w:lineRule="auto"/>
        <w:ind w:left="5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bCs w:val="1"/>
          <w:sz w:val="26"/>
          <w:szCs w:val="26"/>
          <w:rtl w:val="0"/>
        </w:rPr>
        <w:t xml:space="preserve">Bước 1: </w:t>
      </w:r>
      <w:r w:rsidDel="00000000" w:rsidR="00000000" w:rsidRPr="00000000">
        <w:rPr>
          <w:rFonts w:ascii="Times New Roman" w:cs="Times New Roman" w:eastAsia="Times New Roman" w:hAnsi="Times New Roman"/>
          <w:sz w:val="26"/>
          <w:szCs w:val="26"/>
          <w:rtl w:val="0"/>
        </w:rPr>
        <w:t xml:space="preserve">xác nhận theo </w:t>
      </w:r>
      <w:r w:rsidDel="00000000" w:rsidR="00000000" w:rsidRPr="00000000">
        <w:rPr>
          <w:rFonts w:ascii="Times New Roman" w:cs="Times New Roman" w:eastAsia="Times New Roman" w:hAnsi="Times New Roman"/>
          <w:b w:val="1"/>
          <w:bCs w:val="1"/>
          <w:sz w:val="26"/>
          <w:szCs w:val="26"/>
          <w:rtl w:val="0"/>
        </w:rPr>
        <w:t xml:space="preserve">Mẫu 14</w:t>
      </w:r>
      <w:r w:rsidDel="00000000" w:rsidR="00000000" w:rsidRPr="00000000">
        <w:rPr>
          <w:rFonts w:ascii="Times New Roman" w:cs="Times New Roman" w:eastAsia="Times New Roman" w:hAnsi="Times New Roman"/>
          <w:sz w:val="26"/>
          <w:szCs w:val="26"/>
          <w:rtl w:val="0"/>
        </w:rPr>
        <w:t xml:space="preserve"> Phiếu yêu cầu cung cấp thông tin, dữ liệu đất đai (theo Nghị định 151/2025) – </w:t>
      </w:r>
      <w:hyperlink r:id="rId10">
        <w:r w:rsidDel="00000000" w:rsidR="00000000" w:rsidRPr="00000000">
          <w:rPr>
            <w:rFonts w:ascii="Times New Roman" w:cs="Times New Roman" w:eastAsia="Times New Roman" w:hAnsi="Times New Roman"/>
            <w:color w:val="1155cc"/>
            <w:sz w:val="26"/>
            <w:szCs w:val="26"/>
            <w:u w:val="single"/>
            <w:rtl w:val="0"/>
          </w:rPr>
          <w:t xml:space="preserve">Tải file đính kèm</w:t>
        </w:r>
      </w:hyperlink>
      <w:r w:rsidDel="00000000" w:rsidR="00000000" w:rsidRPr="00000000">
        <w:rPr>
          <w:rFonts w:ascii="Times New Roman" w:cs="Times New Roman" w:eastAsia="Times New Roman" w:hAnsi="Times New Roman"/>
          <w:sz w:val="26"/>
          <w:szCs w:val="26"/>
          <w:rtl w:val="0"/>
        </w:rPr>
        <w:t xml:space="preserve">. Mẫu này do Văn phòng Đăng ký đất đai thành phố Đà Nẵng xác nhận.</w:t>
      </w:r>
    </w:p>
    <w:p w:rsidR="00000000" w:rsidDel="00000000" w:rsidP="00000000" w:rsidRDefault="00000000" w:rsidRPr="00000000" w14:paraId="0000000B">
      <w:pPr>
        <w:spacing w:after="120" w:line="340" w:lineRule="auto"/>
        <w:ind w:left="5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 Bước 2: </w:t>
      </w:r>
      <w:r w:rsidDel="00000000" w:rsidR="00000000" w:rsidRPr="00000000">
        <w:rPr>
          <w:rFonts w:ascii="Times New Roman" w:cs="Times New Roman" w:eastAsia="Times New Roman" w:hAnsi="Times New Roman"/>
          <w:sz w:val="26"/>
          <w:szCs w:val="26"/>
          <w:rtl w:val="0"/>
        </w:rPr>
        <w:t xml:space="preserve">xác nhận theo </w:t>
      </w:r>
      <w:r w:rsidDel="00000000" w:rsidR="00000000" w:rsidRPr="00000000">
        <w:rPr>
          <w:rFonts w:ascii="Times New Roman" w:cs="Times New Roman" w:eastAsia="Times New Roman" w:hAnsi="Times New Roman"/>
          <w:b w:val="1"/>
          <w:bCs w:val="1"/>
          <w:sz w:val="26"/>
          <w:szCs w:val="26"/>
          <w:rtl w:val="0"/>
        </w:rPr>
        <w:t xml:space="preserve">Mẫu 09</w:t>
      </w:r>
      <w:r w:rsidDel="00000000" w:rsidR="00000000" w:rsidRPr="00000000">
        <w:rPr>
          <w:rFonts w:ascii="Times New Roman" w:cs="Times New Roman" w:eastAsia="Times New Roman" w:hAnsi="Times New Roman"/>
          <w:sz w:val="26"/>
          <w:szCs w:val="26"/>
          <w:rtl w:val="0"/>
        </w:rPr>
        <w:t xml:space="preserve"> Đơn kê khai thực trạng nhà ở thuộc sở hữu của mình nhưng cách xa địa điểm làm việc (theo Công văn 4958) – </w:t>
      </w:r>
      <w:hyperlink r:id="rId11">
        <w:r w:rsidDel="00000000" w:rsidR="00000000" w:rsidRPr="00000000">
          <w:rPr>
            <w:rFonts w:ascii="Times New Roman" w:cs="Times New Roman" w:eastAsia="Times New Roman" w:hAnsi="Times New Roman"/>
            <w:color w:val="1155cc"/>
            <w:sz w:val="26"/>
            <w:szCs w:val="26"/>
            <w:u w:val="single"/>
            <w:rtl w:val="0"/>
          </w:rPr>
          <w:t xml:space="preserve">Tải file đính kèm</w:t>
        </w:r>
      </w:hyperlink>
      <w:r w:rsidDel="00000000" w:rsidR="00000000" w:rsidRPr="00000000">
        <w:rPr>
          <w:rFonts w:ascii="Times New Roman" w:cs="Times New Roman" w:eastAsia="Times New Roman" w:hAnsi="Times New Roman"/>
          <w:i w:val="1"/>
          <w:i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Mẫu này do Cơ quan, đơn vị, doanh nghiệp người kê khai đang làm việc xác nhận. </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40" w:lineRule="auto"/>
        <w:ind w:left="851"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Người đăng ký mua nhà ở xã hội nộp Văn bản cung cấp thông tin, dữ liệu đất đai của Văn phòng Đăng ký đất đai thành phố Đà Nẵng, Đơn kê khai thực trạng nhà ở thuộc sở hữu của mình nhưng cách xa địa điểm làm việc và hình ảnh bản đồ chứng minh thông tin về các khoảng cách nhà ở thuộc sở hữu của mình, địa điểm làm việc, dự án nhà ở xã hội.</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40" w:lineRule="auto"/>
        <w:ind w:left="567" w:right="0" w:firstLine="283.999999999999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Theo Quyết định số 29/2025/QĐ-UBND của UBND Thành phố Đà Nẵng, các khoảng cách này được xác định bằng chiều dài của lộ trình đường giao thông đường bộ ngắn nhất giữa hai địa điểm và đảm bảo một trong hai điều kiện sau:</w:t>
      </w:r>
    </w:p>
    <w:p w:rsidR="00000000" w:rsidDel="00000000" w:rsidP="00000000" w:rsidRDefault="00000000" w:rsidRPr="00000000" w14:paraId="0000000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40" w:lineRule="auto"/>
        <w:ind w:left="1276"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Đối với các khu vực miền núi, vùng sâu, vùng xa và hải đảo của thành phố Đà Nẵng: nhà ở cách địa điểm làm việc từ 20 km trở lên và cách dự án nhà ở xã hội đăng ký mua từ 10 km trở lên. Khoảng cách từ dự án nhà ở xã hội đăng ký mua đến địa điểm làm việc phải ngắn hơn khoảng cách từ nhà ở thuộc sở hữu của mình đến địa điểm làm việc.</w:t>
      </w:r>
    </w:p>
    <w:p w:rsidR="00000000" w:rsidDel="00000000" w:rsidP="00000000" w:rsidRDefault="00000000" w:rsidRPr="00000000" w14:paraId="0000000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0" w:line="340" w:lineRule="auto"/>
        <w:ind w:left="1276"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Đối với các khu vực không thuộc các khu vực trên: nhà ở cách địa điểm làm việc từ 30 km trở lên và cách dự án nhà ở xã hội đăng ký mua từ 15 km trở lên. Khoảng cách từ dự án nhà ở xã hội đăng ký mua đến địa điểm làm việc phải ngắn hơn khoảng cách từ nhà ở thuộc sở hữu của mình đến địa điểm làm việc.</w:t>
      </w:r>
    </w:p>
    <w:p w:rsidR="00000000" w:rsidDel="00000000" w:rsidP="00000000" w:rsidRDefault="00000000" w:rsidRPr="00000000" w14:paraId="00000010">
      <w:pPr>
        <w:spacing w:after="120" w:line="340" w:lineRule="auto"/>
        <w:ind w:left="5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Lưu ý:</w:t>
      </w:r>
      <w:r w:rsidDel="00000000" w:rsidR="00000000" w:rsidRPr="00000000">
        <w:rPr>
          <w:rFonts w:ascii="Times New Roman" w:cs="Times New Roman" w:eastAsia="Times New Roman" w:hAnsi="Times New Roman"/>
          <w:sz w:val="26"/>
          <w:szCs w:val="26"/>
          <w:rtl w:val="0"/>
        </w:rPr>
        <w:t xml:space="preserve"> Điều kiện về nhà ở để được hưởng chính sách hỗ trợ về nhà ở xã hội đối với tỉnh, thành phố trực thuộc trung ương được sắp xếp lại thì căn cứ vào phạm vi đơn vị hành chính của tỉnh, thành phố trực thuộc trung ương nơi có dự án trước thời điểm sắp xếp lại để xác định điều kiện về nhà ở đối với đối tượng được mua nhà ở xã hội theo quy định của Luật Nhà ở (Căn cứ Khoản 1 Điều 9 Nghị Quyết 201/2025/QH15).</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Văn bản cam kết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07</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(do Chủ đầu tư soạn) – </w:t>
      </w:r>
      <w:hyperlink r:id="rId12">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Giấy tờ thể hiện bị thu hồi đất và phải giải tỏa, phá dỡ nhà ở theo quy định của pháp luật mà chưa được nhà nước bồi thường bằng nhà ở, đất ở</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(01 bản sao y chứng thực);</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độc thân: Cung cấp Giấy Xác nhận tình trạng độc thân (01 bản sao y chứng thực);</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đã kết hôn: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Cung cấp Giấy Đăng ký kết hôn (01 bản sao y chứng thực).</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Cung cấp Căn cước công dân (01 bản sao y chứng thực) của vợ/chồng kèm theo.</w:t>
      </w:r>
    </w:p>
    <w:p w:rsidR="00000000" w:rsidDel="00000000" w:rsidP="00000000" w:rsidRDefault="00000000" w:rsidRPr="00000000" w14:paraId="00000018">
      <w:pPr>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 LƯU Ý</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Mỗi hộ gia đình, cá nhân có nhu cầu mua nhà ở xã hội không được đồng thời đăng ký mua nhà ở xã hội tại nhiều dự án trong cùng một thời điểm.</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Việc nộp hồ sơ được thực hiện thông qua hình thức trực tiếp, trực tuyến.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Khi đi nộp hồ sơ bản cứng trực tiếp thì phải là Chính chủ hoặc phải có Giấy Uỷ quyền có công chứng/chứng thực (đính kèm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10</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Uỷ quyền nộp hồ sơ (do Chủ đầu tư soạn), hoặc có nội dung uỷ quyền nộp hồ sơ  – </w:t>
      </w:r>
      <w:hyperlink r:id="rId13">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Các Biểu mẫu hồ sơ kê khai tuân thủ theo quy định của Pháp luật và nộp bản gốc (nếu từ 2 trang trở lên phải đóng dấu giáp lai các trang, không chỉnh sửa mẫu). </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Các giấy tờ kèm theo dưới đây phải cung cấp 01 bản được công chứng, chứng thực trong thời hạn 06 tháng gần nhất tính đến thời điểm nộp hồ sơ như: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Căn cước công dân;</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Đăng ký kết hôn;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Xác nhận tình trạng hôn nhân;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tờ thể hiện bị thu hồi đất và phải giải tỏa, phá dỡ nhà ở theo quy định của pháp luật mà chưa được nhà nước bồi thường bằng nhà ở, đất ở;</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tờ chứng minh là đối tượng ưu tiên như Giấy xác nhận khuyết tật, giấy tờ thể hiện người được bố trí tái định cư theo hình thức mua nhà ở xã hội (nếu có).</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Văn bản cam kết phải có chữ ký của 02 vợ chồng nếu đã kết hôn;</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Trường hợp Người đứng đơn hoặc Vợ/chồng của người đứng đơn làm việc có Hợp đồng lao động tại Cơ quan/đơn vị/doanh nghiệp thì phải do Người có thẩm quyền đứng đầu cơ quan/Thủ trưởng đơn vị ký xác nhận:</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Cơ quan, Đơn vị, doanh nghiệp Nhà Nước, Đơn vị sự nghiệp công lập: người ký thay phải được ghi “Ký thay” hoặc “Thừa lệnh” và được đóng dấu đầy đủ;</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là Doanh nghiệp thì Người đại diện theo Pháp luật Công ty ký và được đóng dấu đầy đủ. Nếu Người ký xác nhận không phải là Người đại diện theo Pháp luật Công ty thì phải có Giấy Uỷ quyền được ký, trong đó Giấy Uỷ quyền phải có nội dung sau: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Uỷ quyền cho ông/bà ..........được ký xác nhận các biểu mẫu, giấy tờ xác nhận cho Người lao động đang làm việc tại Công ty/Cơ quan/Đơn vị..........</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Hộ gia đình, cá nhân thuộc trường hợp Nhà nước thu hồi đất, nhà ở vì mục đích quốc phòng, an ninh, để phát triển kinh tế - xã hội vì lợi ích quốc gia, công cộng theo quy định của pháp luật mà chưa được Nhà nước bồi thường bằng nhà ở, đất ở thì được mua, thuê mua nhà ở xã hội không phải bốc thăm và không phải đáp ứng điều kiện về nhà ở, điều kiện về thu nhập theo quy định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căn cứ Khoản 3 Điều 2 Nghị Quyết 66.15/2026/NQ-CP ngày 13/02/2026</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Việc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single"/>
          <w:shd w:fill="auto" w:val="clear"/>
          <w:vertAlign w:val="baseline"/>
          <w:rtl w:val="0"/>
        </w:rPr>
        <w:t xml:space="preserve">ưu tiên đối tượng là nữ giới</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được áp dụng đối với trường hợp người đứng đơn đăng ký là nữ giới đơn thân hoặc phải là chủ hộ của hộ gia đình trên cơ sở dữ liệu về cư trú thì:</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Nữ giới đơn thân: Phải cung cấp giấy tờ do Cơ quan có thẩm quyền xác nhận là nữ giới đơn thân đang nuôi con (Bản gốc/sao y chứng thực);</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Nữ giới là chủ hộ của hộ gia đình trên cơ sở dữ liệu quốc gia về nơi cư trú: Phải nộp kèm mẫu CT07 thể hiện là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“Chủ hộ”</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(Bản gốc).</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426"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sectPr>
      <w:footerReference r:id="rId14" w:type="default"/>
      <w:pgSz w:h="15840" w:w="12240" w:orient="portrait"/>
      <w:pgMar w:bottom="993" w:top="709" w:left="851" w:right="758"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i w:val="0"/>
        <w:i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54" w:hanging="360"/>
      </w:pPr>
      <w:rPr>
        <w:rFonts w:ascii="Noto Sans Symbols" w:cs="Noto Sans Symbols" w:eastAsia="Noto Sans Symbols" w:hAnsi="Noto Sans Symbols"/>
      </w:rPr>
    </w:lvl>
    <w:lvl w:ilvl="1">
      <w:start w:val="1"/>
      <w:numFmt w:val="bullet"/>
      <w:lvlText w:val="o"/>
      <w:lvlJc w:val="left"/>
      <w:pPr>
        <w:ind w:left="2574" w:hanging="360"/>
      </w:pPr>
      <w:rPr>
        <w:rFonts w:ascii="Courier New" w:cs="Courier New" w:eastAsia="Courier New" w:hAnsi="Courier New"/>
      </w:rPr>
    </w:lvl>
    <w:lvl w:ilvl="2">
      <w:start w:val="1"/>
      <w:numFmt w:val="bullet"/>
      <w:lvlText w:val="▪"/>
      <w:lvlJc w:val="left"/>
      <w:pPr>
        <w:ind w:left="3294" w:hanging="360"/>
      </w:pPr>
      <w:rPr>
        <w:rFonts w:ascii="Noto Sans Symbols" w:cs="Noto Sans Symbols" w:eastAsia="Noto Sans Symbols" w:hAnsi="Noto Sans Symbols"/>
      </w:rPr>
    </w:lvl>
    <w:lvl w:ilvl="3">
      <w:start w:val="1"/>
      <w:numFmt w:val="bullet"/>
      <w:lvlText w:val="●"/>
      <w:lvlJc w:val="left"/>
      <w:pPr>
        <w:ind w:left="4014" w:hanging="360"/>
      </w:pPr>
      <w:rPr>
        <w:rFonts w:ascii="Noto Sans Symbols" w:cs="Noto Sans Symbols" w:eastAsia="Noto Sans Symbols" w:hAnsi="Noto Sans Symbols"/>
      </w:rPr>
    </w:lvl>
    <w:lvl w:ilvl="4">
      <w:start w:val="1"/>
      <w:numFmt w:val="bullet"/>
      <w:lvlText w:val="o"/>
      <w:lvlJc w:val="left"/>
      <w:pPr>
        <w:ind w:left="4734" w:hanging="360"/>
      </w:pPr>
      <w:rPr>
        <w:rFonts w:ascii="Courier New" w:cs="Courier New" w:eastAsia="Courier New" w:hAnsi="Courier New"/>
      </w:rPr>
    </w:lvl>
    <w:lvl w:ilvl="5">
      <w:start w:val="1"/>
      <w:numFmt w:val="bullet"/>
      <w:lvlText w:val="▪"/>
      <w:lvlJc w:val="left"/>
      <w:pPr>
        <w:ind w:left="5454" w:hanging="360"/>
      </w:pPr>
      <w:rPr>
        <w:rFonts w:ascii="Noto Sans Symbols" w:cs="Noto Sans Symbols" w:eastAsia="Noto Sans Symbols" w:hAnsi="Noto Sans Symbols"/>
      </w:rPr>
    </w:lvl>
    <w:lvl w:ilvl="6">
      <w:start w:val="1"/>
      <w:numFmt w:val="bullet"/>
      <w:lvlText w:val="●"/>
      <w:lvlJc w:val="left"/>
      <w:pPr>
        <w:ind w:left="6174" w:hanging="360"/>
      </w:pPr>
      <w:rPr>
        <w:rFonts w:ascii="Noto Sans Symbols" w:cs="Noto Sans Symbols" w:eastAsia="Noto Sans Symbols" w:hAnsi="Noto Sans Symbols"/>
      </w:rPr>
    </w:lvl>
    <w:lvl w:ilvl="7">
      <w:start w:val="1"/>
      <w:numFmt w:val="bullet"/>
      <w:lvlText w:val="o"/>
      <w:lvlJc w:val="left"/>
      <w:pPr>
        <w:ind w:left="6894" w:hanging="360"/>
      </w:pPr>
      <w:rPr>
        <w:rFonts w:ascii="Courier New" w:cs="Courier New" w:eastAsia="Courier New" w:hAnsi="Courier New"/>
      </w:rPr>
    </w:lvl>
    <w:lvl w:ilvl="8">
      <w:start w:val="1"/>
      <w:numFmt w:val="bullet"/>
      <w:lvlText w:val="▪"/>
      <w:lvlJc w:val="left"/>
      <w:pPr>
        <w:ind w:left="7614" w:hanging="360"/>
      </w:pPr>
      <w:rPr>
        <w:rFonts w:ascii="Noto Sans Symbols" w:cs="Noto Sans Symbols" w:eastAsia="Noto Sans Symbols" w:hAnsi="Noto Sans Symbols"/>
      </w:rPr>
    </w:lvl>
  </w:abstractNum>
  <w:abstractNum w:abstractNumId="3">
    <w:lvl w:ilvl="0">
      <w:start w:val="1"/>
      <w:numFmt w:val="decimal"/>
      <w:lvlText w:val="%1."/>
      <w:lvlJc w:val="left"/>
      <w:pPr>
        <w:ind w:left="1440" w:hanging="360"/>
      </w:pPr>
      <w:rPr>
        <w:b w:val="1"/>
        <w:bCs w:val="1"/>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decimal"/>
      <w:lvlText w:val="%1."/>
      <w:lvlJc w:val="left"/>
      <w:pPr>
        <w:ind w:left="720" w:hanging="360"/>
      </w:pPr>
      <w:rPr>
        <w:b w:val="1"/>
        <w:bCs w:val="1"/>
      </w:rPr>
    </w:lvl>
    <w:lvl w:ilvl="1">
      <w:start w:val="3"/>
      <w:numFmt w:val="bullet"/>
      <w:lvlText w:val="-"/>
      <w:lvlJc w:val="left"/>
      <w:pPr>
        <w:ind w:left="1440" w:hanging="360"/>
      </w:pPr>
      <w:rPr>
        <w:rFonts w:ascii="Times New Roman" w:cs="Times New Roman" w:eastAsia="Times New Roman" w:hAnsi="Times New Roman"/>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vi"/>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uc?export=download&amp;id=1NpJ1aF26-tHpElG4W-MtSI6kJX2cJsbP" TargetMode="External"/><Relationship Id="rId10" Type="http://schemas.openxmlformats.org/officeDocument/2006/relationships/hyperlink" Target="https://drive.google.com/uc?export=download&amp;id=1iaVN4DfcatzpGxlot0SHXKTQW5MZxuRC" TargetMode="External"/><Relationship Id="rId13" Type="http://schemas.openxmlformats.org/officeDocument/2006/relationships/hyperlink" Target="https://drive.google.com/uc?export=download&amp;id=1oY49mpE7nk4uHYNFGBYI8c7j-QWqHYGD" TargetMode="External"/><Relationship Id="rId12" Type="http://schemas.openxmlformats.org/officeDocument/2006/relationships/hyperlink" Target="https://drive.google.com/uc?export=download&amp;id=1zSDlmfla2SWc_YOB6ELcR0IUh5m_z5W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uc?export=download&amp;id=1_aAyZbwvbmNCbR58WXH64W4f-1Upjabd"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rive.google.com/uc?export=download&amp;id=18yTgvCzGnu3YO9KwF8U3XY5zv4AhVNAZ" TargetMode="External"/><Relationship Id="rId7" Type="http://schemas.openxmlformats.org/officeDocument/2006/relationships/hyperlink" Target="https://drive.google.com/uc?export=download&amp;id=1D4UdJPPrHwO0yrfZsQ-qvFcr4PdmeLMV" TargetMode="External"/><Relationship Id="rId8" Type="http://schemas.openxmlformats.org/officeDocument/2006/relationships/hyperlink" Target="https://drive.google.com/uc?export=download&amp;id=1SMhzAybXKBfjLQoN1kaCzR5FcwmPy3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c9c58673-a86e-4496-8242-c272884ed537</vt:lpwstr>
  </property>
  <property fmtid="{D5CDD505-2E9C-101B-9397-08002B2CF9AE}" pid="3" name="KSOProductBuildVer">
    <vt:lpwstr>1033-12.2.0.22549</vt:lpwstr>
  </property>
  <property fmtid="{D5CDD505-2E9C-101B-9397-08002B2CF9AE}" pid="4" name="ICV">
    <vt:lpwstr>B7FC8479AB764301BB575BD1156F1E45_12</vt:lpwstr>
  </property>
  <property fmtid="{D5CDD505-2E9C-101B-9397-08002B2CF9AE}" pid="5" name="MSIP_Label_defa4170-0d19-0005-0004-bc88714345d2_Enabled">
    <vt:lpwstr>true</vt:lpwstr>
  </property>
  <property fmtid="{D5CDD505-2E9C-101B-9397-08002B2CF9AE}" pid="6" name="MSIP_Label_defa4170-0d19-0005-0004-bc88714345d2_SetDate">
    <vt:lpwstr>2026-04-05T12:25:38Z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e2fe5b74-4b3d-4cf2-85d5-47f792b43e95</vt:lpwstr>
  </property>
  <property fmtid="{D5CDD505-2E9C-101B-9397-08002B2CF9AE}" pid="10" name="MSIP_Label_defa4170-0d19-0005-0004-bc88714345d2_ActionId">
    <vt:lpwstr>1fbd608d-3346-451b-8192-2889c52b2715</vt:lpwstr>
  </property>
  <property fmtid="{D5CDD505-2E9C-101B-9397-08002B2CF9AE}" pid="11" name="MSIP_Label_defa4170-0d19-0005-0004-bc88714345d2_ContentBits">
    <vt:lpwstr>0</vt:lpwstr>
  </property>
  <property fmtid="{D5CDD505-2E9C-101B-9397-08002B2CF9AE}" pid="12" name="MSIP_Label_defa4170-0d19-0005-0004-bc88714345d2_Tag">
    <vt:lpwstr>50, 3, 0, 1</vt:lpwstr>
  </property>
</Properties>
</file>