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right="-144" w:firstLine="284"/>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7a.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 </w:t>
      </w:r>
      <w:r w:rsidDel="00000000" w:rsidR="00000000" w:rsidRPr="00000000">
        <w:rPr>
          <w:rFonts w:ascii="Times New Roman" w:cs="Times New Roman" w:eastAsia="Times New Roman" w:hAnsi="Times New Roman"/>
          <w:b w:val="1"/>
          <w:bCs w:val="1"/>
          <w:i w:val="1"/>
          <w:iCs w:val="1"/>
          <w:sz w:val="26"/>
          <w:szCs w:val="26"/>
          <w:rtl w:val="0"/>
        </w:rPr>
        <w:t xml:space="preserve">(thuộc Bộ Quốc phòng)</w:t>
      </w:r>
      <w:r w:rsidDel="00000000" w:rsidR="00000000" w:rsidRPr="00000000">
        <w:rPr>
          <w:rtl w:val="0"/>
        </w:rPr>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94/2024 của Bộ Quốc phòng)</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Hồ Chí Minh xác nhận.</w:t>
      </w:r>
    </w:p>
    <w:p w:rsidR="00000000" w:rsidDel="00000000" w:rsidP="00000000" w:rsidRDefault="00000000" w:rsidRPr="00000000" w14:paraId="00000007">
      <w:pPr>
        <w:shd w:fill="ffffff" w:val="clear"/>
        <w:spacing w:line="276" w:lineRule="auto"/>
        <w:ind w:left="426" w:firstLine="424.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color w:val="000000"/>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UBND phường/xã nơi có thửa đất thực hiện xác nhận.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10">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9">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w:t>
      </w:r>
    </w:p>
    <w:p w:rsidR="00000000" w:rsidDel="00000000" w:rsidP="00000000" w:rsidRDefault="00000000" w:rsidRPr="00000000" w14:paraId="0000000A">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 Bước 1:</w:t>
      </w:r>
      <w:r w:rsidDel="00000000" w:rsidR="00000000" w:rsidRPr="00000000">
        <w:rPr>
          <w:rFonts w:ascii="Times New Roman" w:cs="Times New Roman" w:eastAsia="Times New Roman" w:hAnsi="Times New Roman"/>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sz w:val="26"/>
          <w:szCs w:val="26"/>
          <w:rtl w:val="0"/>
        </w:rPr>
        <w:t xml:space="preserve">Công văn số 20880/SXD-QLN&amp;TTBĐS</w:t>
      </w:r>
      <w:r w:rsidDel="00000000" w:rsidR="00000000" w:rsidRPr="00000000">
        <w:rPr>
          <w:rFonts w:ascii="Times New Roman" w:cs="Times New Roman" w:eastAsia="Times New Roman" w:hAnsi="Times New Roman"/>
          <w:sz w:val="26"/>
          <w:szCs w:val="26"/>
          <w:rtl w:val="0"/>
        </w:rPr>
        <w:t xml:space="preserve"> của Sở Xây dựng TP HCM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70c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và khoảng cách đáp ứng Khoản 1, 2</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B">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C">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D">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0E">
      <w:pPr>
        <w:spacing w:after="120" w:line="340" w:lineRule="auto"/>
        <w:ind w:left="567" w:hanging="42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0F">
      <w:pPr>
        <w:spacing w:after="120" w:line="340" w:lineRule="auto"/>
        <w:ind w:left="567" w:hanging="425"/>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Bước 3: </w:t>
      </w:r>
      <w:r w:rsidDel="00000000" w:rsidR="00000000" w:rsidRPr="00000000">
        <w:rPr>
          <w:rFonts w:ascii="Times New Roman" w:cs="Times New Roman" w:eastAsia="Times New Roman" w:hAnsi="Times New Roman"/>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0">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thu nhập (theo Thông tư 32/2024): </w:t>
      </w:r>
    </w:p>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Bảng lương và phụ cấp của sỹ quan có cấp bậc hàm Đại tá tại Đơn vị đang làm việc: người nộp hồ sơ không cần xác nhận, mà tính theo mức quy định tại Công văn 15624/CTC-CĐTC.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567" w:right="0" w:hanging="567"/>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Mẫu 07 (do Chủ đầu tư soạn)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khai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9">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 do Cơ quan, đơn vị, doanh nghiệp nơi người kê khai đang làm việc thực hiện việc xác nhận.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4">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rawjap5y7wjm"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những người nêu trên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y1pbytq3wc30"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footerReference r:id="rId18" w:type="default"/>
      <w:pgSz w:h="16838" w:w="11906" w:orient="portrait"/>
      <w:pgMar w:bottom="284" w:top="851" w:left="993" w:right="991" w:header="720" w:footer="4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color w:val="000000"/>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6">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8">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mXb2NpUn4MUihrsPj3ON-W7g5rGEKuk7" TargetMode="External"/><Relationship Id="rId10" Type="http://schemas.openxmlformats.org/officeDocument/2006/relationships/hyperlink" Target="https://drive.google.com/uc?export=download&amp;id=1Z1dpFNQ06Af8SZqGFT6JxAql77eq1jFd" TargetMode="External"/><Relationship Id="rId13" Type="http://schemas.openxmlformats.org/officeDocument/2006/relationships/hyperlink" Target="https://drive.google.com/uc?export=download&amp;id=19JbqbpUxkox2WboxK7C5yTCmQZfzpgaE" TargetMode="External"/><Relationship Id="rId12" Type="http://schemas.openxmlformats.org/officeDocument/2006/relationships/hyperlink" Target="https://drive.google.com/uc?export=download&amp;id=1jmkkDxfmUYvnpI7q92yUxswhUK9GfKZ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kdq3GPvLTDiKOlfuaaf0hRUmlEx_bQwL" TargetMode="External"/><Relationship Id="rId15" Type="http://schemas.openxmlformats.org/officeDocument/2006/relationships/hyperlink" Target="https://drive.google.com/uc?export=download&amp;id=17-rD7F3NSTVor6XbAzZT_YXYRzH2PnbU" TargetMode="External"/><Relationship Id="rId14" Type="http://schemas.openxmlformats.org/officeDocument/2006/relationships/hyperlink" Target="https://drive.google.com/uc?export=download&amp;id=1szMM1uZWT7VpzuDknyGZLoznJou2WlMM" TargetMode="External"/><Relationship Id="rId17" Type="http://schemas.openxmlformats.org/officeDocument/2006/relationships/hyperlink" Target="https://drive.google.com/uc?export=download&amp;id=15assKwXkiDkHv7IeBdNGhSNWR7lGk_ym" TargetMode="External"/><Relationship Id="rId16" Type="http://schemas.openxmlformats.org/officeDocument/2006/relationships/hyperlink" Target="https://drive.google.com/uc?export=download&amp;id=1jmkkDxfmUYvnpI7q92yUxswhUK9GfKZ7"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18" Type="http://schemas.openxmlformats.org/officeDocument/2006/relationships/footer" Target="footer1.xml"/><Relationship Id="rId7" Type="http://schemas.openxmlformats.org/officeDocument/2006/relationships/hyperlink" Target="https://drive.google.com/uc?export=download&amp;id=1Nb2c5g8rEIwtXJozxlI9YL2YutNYsdDF" TargetMode="External"/><Relationship Id="rId8" Type="http://schemas.openxmlformats.org/officeDocument/2006/relationships/hyperlink" Target="https://drive.google.com/uc?export=download&amp;id=17GeFb1mgmE_UtGtqxJcRz35tjZJxoWi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433EFE75EA5642CC81E995A6338E97DD_12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2026-04-05T12:12:43Z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7e9ef043-c6b0-4ac3-8a84-625139170239</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